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120B" w14:textId="272F7A45" w:rsidR="007954EF" w:rsidRPr="007954EF" w:rsidRDefault="007954EF" w:rsidP="007954EF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7954EF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436/ </w:t>
      </w:r>
      <w:r w:rsidR="001F7B0F">
        <w:rPr>
          <w:rFonts w:ascii="Arial" w:eastAsia="Times New Roman" w:hAnsi="Arial"/>
          <w:b/>
          <w:bCs/>
          <w:sz w:val="24"/>
          <w:szCs w:val="24"/>
          <w:lang w:eastAsia="pl-PL"/>
        </w:rPr>
        <w:t>8881</w:t>
      </w:r>
      <w:r w:rsidRPr="007954EF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7570313F" w14:textId="77777777" w:rsidR="007954EF" w:rsidRPr="007954EF" w:rsidRDefault="007954EF" w:rsidP="007954EF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7954EF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6C1E2476" w14:textId="77777777" w:rsidR="007954EF" w:rsidRPr="007954EF" w:rsidRDefault="007954EF" w:rsidP="007954EF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7954EF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5A5BF3EE" w14:textId="0184B146" w:rsidR="007954EF" w:rsidRDefault="007954EF" w:rsidP="007954EF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7954EF">
        <w:rPr>
          <w:rFonts w:ascii="Arial" w:eastAsia="Times New Roman" w:hAnsi="Arial"/>
          <w:sz w:val="24"/>
          <w:szCs w:val="24"/>
          <w:lang w:eastAsia="pl-PL"/>
        </w:rPr>
        <w:t>z dnia 7 listopada  2022r.</w:t>
      </w:r>
      <w:bookmarkEnd w:id="0"/>
    </w:p>
    <w:p w14:paraId="4632FA28" w14:textId="77777777" w:rsidR="007954EF" w:rsidRPr="007954EF" w:rsidRDefault="007954EF" w:rsidP="007954EF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25F0783B" w:rsidR="00010693" w:rsidRPr="005F128E" w:rsidRDefault="00010693" w:rsidP="005178D5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5F12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5F12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6D6240" w:rsidRPr="005F128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Projektu </w:t>
      </w:r>
      <w:r w:rsidR="00DF7F37" w:rsidRPr="005F128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EC1F49" w:rsidRPr="005F128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Cmolas</w:t>
      </w:r>
      <w:r w:rsidR="000A7F44" w:rsidRPr="005F128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6D6240" w:rsidRPr="005F128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br/>
      </w:r>
      <w:r w:rsidR="000A7F44" w:rsidRPr="005F128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202</w:t>
      </w:r>
      <w:r w:rsidR="006D6240" w:rsidRPr="005F128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</w:t>
      </w:r>
      <w:r w:rsidR="000A7F44" w:rsidRPr="005F128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</w:t>
      </w:r>
      <w:r w:rsidR="006D6240" w:rsidRPr="005F128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30</w:t>
      </w:r>
    </w:p>
    <w:p w14:paraId="6D1FAC2C" w14:textId="6768D2C1" w:rsidR="00DF7F37" w:rsidRPr="005F128E" w:rsidRDefault="00010693" w:rsidP="00040685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z dnia 5 czerwca 1998 r. </w:t>
      </w:r>
      <w:r w:rsidR="00DF7F37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</w:t>
      </w:r>
      <w:r w:rsidR="00B94EA5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samorządzie województwa</w:t>
      </w:r>
      <w:r w:rsidR="00DF7F37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="00DF7F37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DF7F37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proofErr w:type="spellEnd"/>
      <w:r w:rsidR="00B94EA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" w:name="_Hlk97803401"/>
      <w:r w:rsidR="00DF7F37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</w:t>
      </w:r>
      <w:r w:rsidR="00A57FAF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DF7F37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00037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bookmarkStart w:id="3" w:name="_Hlk117140884"/>
      <w:bookmarkEnd w:id="2"/>
      <w:r w:rsidR="00723F01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="00DF7F37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="00B94EA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10f ust. 2 i 3 ustawy z</w:t>
      </w:r>
      <w:r w:rsidR="00A20C8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1144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dnia 8 marca 1990 r. </w:t>
      </w:r>
      <w:r w:rsidR="0041144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="0041144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41144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</w:t>
      </w:r>
      <w:proofErr w:type="spellEnd"/>
      <w:r w:rsidR="00B94EA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1144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Dz. U. </w:t>
      </w:r>
      <w:r w:rsidR="00A57FAF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41144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CB660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41144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CB660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559</w:t>
      </w:r>
      <w:r w:rsidR="00EA0502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="0041144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731D13F6" w14:textId="77777777" w:rsidR="00010693" w:rsidRPr="005F128E" w:rsidRDefault="00010693" w:rsidP="000106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F12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5F128E" w:rsidRDefault="00010693" w:rsidP="004D2A3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F12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5F128E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4" w:name="_Hlk45790122"/>
      <w:r w:rsidRPr="005F128E">
        <w:rPr>
          <w:rFonts w:eastAsia="Times New Roman"/>
          <w:color w:val="000000" w:themeColor="text1"/>
          <w:lang w:eastAsia="pl-PL"/>
        </w:rPr>
        <w:t>§ 1</w:t>
      </w:r>
    </w:p>
    <w:bookmarkEnd w:id="4"/>
    <w:p w14:paraId="27320FCD" w14:textId="1341999E" w:rsidR="00040685" w:rsidRPr="005F128E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F052E2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P</w:t>
      </w:r>
      <w:r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rojektu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</w:t>
      </w:r>
      <w:r w:rsidR="00EC1F49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Cmolas</w:t>
      </w:r>
      <w:r w:rsidR="006D6240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="000A7F4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202</w:t>
      </w:r>
      <w:r w:rsidR="006D6240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</w:t>
      </w:r>
      <w:r w:rsidR="000A7F4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-20</w:t>
      </w:r>
      <w:r w:rsidR="006D6240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30</w:t>
      </w:r>
      <w:r w:rsidR="000608E5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735E3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</w:t>
      </w:r>
      <w:r w:rsidR="00735E3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prowadzenia polityki przestrzennej w województwie określonych w</w:t>
      </w:r>
      <w:r w:rsidR="008F646E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694FDAB" w14:textId="77777777" w:rsidR="00010693" w:rsidRPr="005F128E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5F128E">
        <w:rPr>
          <w:rFonts w:eastAsia="Times New Roman"/>
          <w:color w:val="000000" w:themeColor="text1"/>
        </w:rPr>
        <w:t>§ 2</w:t>
      </w:r>
    </w:p>
    <w:p w14:paraId="5CD46CED" w14:textId="77777777" w:rsidR="00F00592" w:rsidRPr="005F128E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FC735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5F128E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5F128E">
        <w:rPr>
          <w:rFonts w:eastAsia="Times New Roman"/>
          <w:color w:val="000000" w:themeColor="text1"/>
        </w:rPr>
        <w:t>§ 3</w:t>
      </w:r>
    </w:p>
    <w:p w14:paraId="73C4E17A" w14:textId="77777777" w:rsidR="00F00592" w:rsidRPr="005F128E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5F128E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5F128E">
        <w:rPr>
          <w:rFonts w:eastAsia="Times New Roman"/>
          <w:color w:val="000000" w:themeColor="text1"/>
          <w:lang w:eastAsia="pl-PL"/>
        </w:rPr>
        <w:t>§ 4</w:t>
      </w:r>
    </w:p>
    <w:p w14:paraId="38D9F7B0" w14:textId="53CFC2C2" w:rsidR="00010693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5F128E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5B9BC0E5" w14:textId="77777777" w:rsidR="001430F1" w:rsidRPr="009F32A7" w:rsidRDefault="001430F1" w:rsidP="001430F1">
      <w:pPr>
        <w:spacing w:after="0"/>
        <w:rPr>
          <w:rFonts w:ascii="Arial" w:hAnsi="Arial" w:cs="Arial"/>
          <w:sz w:val="23"/>
          <w:szCs w:val="23"/>
        </w:rPr>
      </w:pPr>
      <w:bookmarkStart w:id="5" w:name="_Hlk114218814"/>
      <w:r w:rsidRPr="009F32A7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143EBC9" w14:textId="77777777" w:rsidR="001430F1" w:rsidRPr="009F32A7" w:rsidRDefault="001430F1" w:rsidP="001430F1">
      <w:pPr>
        <w:spacing w:after="0"/>
        <w:rPr>
          <w:rFonts w:ascii="Arial" w:eastAsiaTheme="minorEastAsia" w:hAnsi="Arial" w:cs="Arial"/>
        </w:rPr>
      </w:pPr>
      <w:r w:rsidRPr="009F32A7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29C6982A" w14:textId="77777777" w:rsidR="001430F1" w:rsidRPr="005F128E" w:rsidRDefault="001430F1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1CFFDD2D" w14:textId="77777777" w:rsidR="004D2A30" w:rsidRPr="005F128E" w:rsidRDefault="004D2A30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4D2A30" w:rsidRPr="005F128E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3E0392" w14:textId="37C4D61B" w:rsidR="007954EF" w:rsidRPr="007954EF" w:rsidRDefault="007954EF" w:rsidP="007954E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7711470"/>
      <w:r w:rsidRPr="007954E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436/</w:t>
      </w:r>
      <w:r w:rsidR="001F7B0F">
        <w:rPr>
          <w:rFonts w:ascii="Arial" w:eastAsia="Times New Roman" w:hAnsi="Arial" w:cs="Arial"/>
          <w:bCs/>
          <w:sz w:val="24"/>
          <w:szCs w:val="24"/>
          <w:lang w:eastAsia="pl-PL"/>
        </w:rPr>
        <w:t>8881</w:t>
      </w:r>
      <w:r w:rsidRPr="007954EF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491BC571" w14:textId="77777777" w:rsidR="007954EF" w:rsidRPr="007954EF" w:rsidRDefault="007954EF" w:rsidP="007954E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954E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9724BE1" w14:textId="77777777" w:rsidR="007954EF" w:rsidRPr="007954EF" w:rsidRDefault="007954EF" w:rsidP="007954E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954E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60AB42A" w14:textId="79D08722" w:rsidR="007954EF" w:rsidRDefault="007954EF" w:rsidP="007954E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954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7 listopada </w:t>
      </w:r>
      <w:r w:rsidRPr="007954EF">
        <w:rPr>
          <w:rFonts w:ascii="Arial" w:eastAsia="Times New Roman" w:hAnsi="Arial"/>
          <w:sz w:val="24"/>
          <w:szCs w:val="24"/>
          <w:lang w:eastAsia="pl-PL"/>
        </w:rPr>
        <w:t xml:space="preserve">2022 </w:t>
      </w:r>
      <w:r w:rsidRPr="007954E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6"/>
    </w:p>
    <w:p w14:paraId="4FDD1BD6" w14:textId="77777777" w:rsidR="007954EF" w:rsidRPr="007954EF" w:rsidRDefault="007954EF" w:rsidP="007954E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5575C8F" w14:textId="27B3C051" w:rsidR="00F71851" w:rsidRPr="005F128E" w:rsidRDefault="004D2A30" w:rsidP="005902D1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5F128E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5F1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59BA990F" w:rsidR="008220FD" w:rsidRPr="005F128E" w:rsidRDefault="008220FD" w:rsidP="005902D1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5F128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</w:t>
      </w:r>
      <w:r w:rsidR="00B94EA5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</w:t>
      </w:r>
      <w:proofErr w:type="spellEnd"/>
      <w:r w:rsidR="00B94EA5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Dz. U. </w:t>
      </w:r>
      <w:r w:rsidR="00821C2D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2F6B0D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</w:t>
      </w:r>
      <w:r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2F6B0D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559</w:t>
      </w:r>
      <w:r w:rsidR="004B600A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ze zm.</w:t>
      </w:r>
      <w:r w:rsidR="002471DC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</w:t>
      </w:r>
      <w:r w:rsidRPr="005F128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</w:t>
      </w:r>
      <w:r w:rsidR="00B04E91" w:rsidRPr="005F128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128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7" w:name="_Hlk95207198"/>
      <w:r w:rsidRPr="005F128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5F128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5F128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 w:rsidRPr="005F128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128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E804DD" w:rsidRPr="005F128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128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 prowadzenia polityki przestrzennej w</w:t>
      </w:r>
      <w:r w:rsidR="005178D5" w:rsidRPr="005F128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128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7"/>
    <w:p w14:paraId="453E34EE" w14:textId="4C0EC44D" w:rsidR="00AA0975" w:rsidRPr="005F128E" w:rsidRDefault="008220FD" w:rsidP="005902D1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2E8CAC9" w14:textId="3963CFEE" w:rsidR="00513158" w:rsidRPr="005F128E" w:rsidRDefault="00902E6A" w:rsidP="005902D1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8" w:name="_Hlk98835338"/>
      <w:bookmarkStart w:id="9" w:name="_Hlk97803195"/>
      <w:r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735E34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11 października</w:t>
      </w:r>
      <w:r w:rsidR="00363650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2022 r.</w:t>
      </w:r>
      <w:r w:rsidR="0001132B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do Urzędu Marszałkowskiego Województwa Podkarpackiego wpłynęło pismo </w:t>
      </w:r>
      <w:r w:rsidR="00735E34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dnia 10 października 2022 r., znak: L.RG.I.7011.5.2022 </w:t>
      </w:r>
      <w:r w:rsidR="006D6240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Pana </w:t>
      </w:r>
      <w:r w:rsidR="00735E34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Eugeniusza Galek</w:t>
      </w:r>
      <w:r w:rsidR="006D6240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735E34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Wójta Gminy Cmolas</w:t>
      </w:r>
      <w:r w:rsidR="006D6240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zawierające prośbę o wydanie opinii o której mowa w art. 10f ust. 2 i 3 </w:t>
      </w:r>
      <w:proofErr w:type="spellStart"/>
      <w:r w:rsidR="006D6240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6D6240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dla </w:t>
      </w:r>
      <w:r w:rsidR="006D6240" w:rsidRPr="005F128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Projektu Strategii Rozwoju Gminy </w:t>
      </w:r>
      <w:r w:rsidR="00735E34" w:rsidRPr="005F128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Cmolas </w:t>
      </w:r>
      <w:r w:rsidR="006D6240" w:rsidRPr="005F128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2022-2030</w:t>
      </w:r>
      <w:r w:rsidR="00912AE5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912AE5" w:rsidRPr="005F128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912AE5" w:rsidRPr="005F128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).</w:t>
      </w:r>
    </w:p>
    <w:bookmarkEnd w:id="8"/>
    <w:bookmarkEnd w:id="9"/>
    <w:p w14:paraId="7764502B" w14:textId="5F48C845" w:rsidR="00912AE5" w:rsidRPr="005F128E" w:rsidRDefault="00DF2CA4" w:rsidP="005902D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wykazała, że</w:t>
      </w:r>
      <w:r w:rsidR="00781F3A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0A072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</w:t>
      </w:r>
      <w:r w:rsidR="0083391D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rojektu </w:t>
      </w:r>
      <w:r w:rsidR="000A0720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825515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Cmolas</w:t>
      </w:r>
      <w:r w:rsidR="00912AE5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D373B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202</w:t>
      </w:r>
      <w:r w:rsidR="00912AE5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</w:t>
      </w:r>
      <w:r w:rsidR="00AD373B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-20</w:t>
      </w:r>
      <w:r w:rsidR="00912AE5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30</w:t>
      </w:r>
      <w:r w:rsidR="000A072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mieści</w:t>
      </w:r>
      <w:r w:rsidR="00AD373B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A5361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się w</w:t>
      </w:r>
      <w:r w:rsidR="00ED69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horyzon</w:t>
      </w:r>
      <w:r w:rsidR="00912AE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="000A072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czasowy</w:t>
      </w:r>
      <w:r w:rsidR="00912AE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przyjęty</w:t>
      </w:r>
      <w:r w:rsidR="00912AE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AE67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0A0720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81F3A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C3C33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yznaczon</w:t>
      </w:r>
      <w:r w:rsidR="00FF41BF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AE67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12AE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nim cel</w:t>
      </w:r>
      <w:r w:rsidR="00FF41BF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F41BF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strategiczne</w:t>
      </w:r>
      <w:r w:rsidR="00912AE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</w:t>
      </w:r>
      <w:r w:rsidR="00D208C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także </w:t>
      </w:r>
      <w:r w:rsidR="004C3C33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cele </w:t>
      </w:r>
      <w:r w:rsidR="00FF41BF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operacyjne</w:t>
      </w:r>
      <w:r w:rsidR="004C3C33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wraz z</w:t>
      </w:r>
      <w:r w:rsidR="00AE441A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C3C33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wymienionymi </w:t>
      </w:r>
      <w:r w:rsidR="00FF41BF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ich ramach </w:t>
      </w:r>
      <w:r w:rsidR="00AD373B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kierunkami działań</w:t>
      </w:r>
      <w:r w:rsidR="004C3C33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wpisują się w zapisy </w:t>
      </w:r>
      <w:r w:rsidR="004C3C33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4C3C33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12AE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D208C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szczególności można przypisać je w</w:t>
      </w:r>
      <w:r w:rsidR="00D208C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D208C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priorytety.</w:t>
      </w:r>
    </w:p>
    <w:p w14:paraId="5BCC93FA" w14:textId="6F388AD8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5255C42C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3F53AA78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1.1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C692BC3" w14:textId="5BAD0D1B" w:rsidR="00392AD6" w:rsidRPr="005F128E" w:rsidRDefault="00392AD6" w:rsidP="005902D1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49C0BD4B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2.1. Edukacja</w:t>
      </w:r>
    </w:p>
    <w:p w14:paraId="022ABDD7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2.1, 2.2, 3.1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CC1A18B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2.2. Regionalna polityka zdrowotna</w:t>
      </w:r>
    </w:p>
    <w:p w14:paraId="6B5F336D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3.2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E44DCF3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Priorytet 2.3. Kultura i dziedzictwo kulturowe</w:t>
      </w:r>
    </w:p>
    <w:p w14:paraId="72DD35F5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2.3, 3.1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B6BF67C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2.4. Rynek pracy</w:t>
      </w:r>
    </w:p>
    <w:p w14:paraId="67DBBDE6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2.1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4110C00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4D0647F9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3.2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503EB8F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2.6. Włączenie społeczne</w:t>
      </w:r>
    </w:p>
    <w:p w14:paraId="02708719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3.3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1FB7BC3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2.7. Aktywny styl życia i sport</w:t>
      </w:r>
    </w:p>
    <w:p w14:paraId="17C7ABBB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2.2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F565AD3" w14:textId="32FB2DFF" w:rsidR="00392AD6" w:rsidRPr="005F128E" w:rsidRDefault="003E4F46" w:rsidP="005902D1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OBSZAR TEMATYCZNY </w:t>
      </w:r>
      <w:r w:rsidR="00392AD6" w:rsidRPr="005F128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3. INFRASTRUKTURA DLA ZRÓWNOWAŻONEGO ROZWOJU I ŚRODOWISKA</w:t>
      </w:r>
    </w:p>
    <w:p w14:paraId="1EE72506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24841EE3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3.1, 1.2, 1.3, 2.1, 3.1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BA1BDC8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06FAA143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0" w:name="_Hlk117854530"/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1.1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0"/>
    <w:p w14:paraId="580947B4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77109F5A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1.2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3BE2D2A" w14:textId="6E2A3C71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3.5. Rozwój infrastruktury służącej prowadzeniu działalności gospodarczej i</w:t>
      </w:r>
      <w:r w:rsidR="003E4F46"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turystyki</w:t>
      </w:r>
    </w:p>
    <w:p w14:paraId="41D78CA2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1.1, 2.3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53AFDAB" w14:textId="77777777" w:rsidR="00392AD6" w:rsidRPr="005F128E" w:rsidRDefault="00392AD6" w:rsidP="005902D1">
      <w:pPr>
        <w:spacing w:after="120" w:line="276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4322424B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1.2, 1.3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456016E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428185B1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1.2, 1.3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DF2C1FF" w14:textId="575B8491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3.8. Zarządzanie zasobami dziedzictwa przyrodniczego, w tym ochrona i</w:t>
      </w:r>
      <w:r w:rsidR="003E4F46"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poprawianie stanu różnorodności biologicznej i krajobrazu</w:t>
      </w:r>
    </w:p>
    <w:p w14:paraId="650946A6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1.3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D102ECB" w14:textId="3934CA8E" w:rsidR="00392AD6" w:rsidRPr="005F128E" w:rsidRDefault="003E4F46" w:rsidP="005902D1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OBSZAR TEMATYCZNY </w:t>
      </w:r>
      <w:r w:rsidR="00392AD6" w:rsidRPr="005F128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4. DOSTĘPNOŚĆ USŁUG</w:t>
      </w:r>
    </w:p>
    <w:p w14:paraId="70E01D00" w14:textId="3DD70C0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4.2. Planowanie przestrzenne wspierające aktywizację społeczności i</w:t>
      </w:r>
      <w:r w:rsidR="003E4F46"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aktywizacja obszarów zdegradowanych</w:t>
      </w:r>
    </w:p>
    <w:p w14:paraId="60C5818F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1.2, 2.1, 3.3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4082ED5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18F959BA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1.2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B83BEB8" w14:textId="77777777" w:rsidR="00392AD6" w:rsidRPr="005F128E" w:rsidRDefault="00392AD6" w:rsidP="005902D1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2838590F" w14:textId="77777777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Priorytet 7.3. Obszary wymagające szczególnego wsparcia w kontekście równoważenia rozwoju</w:t>
      </w:r>
    </w:p>
    <w:p w14:paraId="14BD617A" w14:textId="77777777" w:rsidR="00392AD6" w:rsidRPr="005F128E" w:rsidRDefault="00392AD6" w:rsidP="005902D1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1.1, 1.2, 1.3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05154AB" w14:textId="712EED0A" w:rsidR="00392AD6" w:rsidRPr="005F128E" w:rsidRDefault="00392AD6" w:rsidP="005902D1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Priorytet 7.4. Obszary wiejskie – wysoka jakość przestrzeni do zamieszkania, pracy i</w:t>
      </w:r>
      <w:r w:rsidR="003E4F46"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wypoczynku</w:t>
      </w:r>
    </w:p>
    <w:p w14:paraId="0B2A0BAD" w14:textId="77777777" w:rsidR="00392AD6" w:rsidRPr="005F128E" w:rsidRDefault="00392AD6" w:rsidP="005902D1">
      <w:pPr>
        <w:spacing w:after="24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1.1, 1.2, 1.3, 2.1, 2.2, 2.3, 3.1, 3.3 </w:t>
      </w:r>
      <w:r w:rsidRPr="005F12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5F12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FBEB846" w14:textId="77777777" w:rsidR="00E931C4" w:rsidRPr="005F128E" w:rsidRDefault="00E931C4" w:rsidP="005902D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Uwzględniając powyższe przyporządkowanie Zarząd Województwa Podkarpackiego rekomenduje skorygowanie, zgodnie z treścią niniejszej uchwały, zawartej na str. 109-113 </w:t>
      </w:r>
      <w:r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tabeli wskazującej na wpisywanie się jej celów w </w:t>
      </w:r>
      <w:r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D6E2DED" w14:textId="77777777" w:rsidR="00ED6958" w:rsidRPr="005F128E" w:rsidRDefault="00ED6958" w:rsidP="005902D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Przedłożona do zaopiniowania </w:t>
      </w:r>
      <w:r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została zweryfikowana zgodnie z zakresem art. 10f ust. 2 </w:t>
      </w:r>
      <w:proofErr w:type="spellStart"/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., a także przeanalizowana z punktu widzenia elementów o których mowa w art. 10e ust. 3 i 4 </w:t>
      </w:r>
      <w:proofErr w:type="spellStart"/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Zgodnie z przywołaną regulacją, strategia rozwoju gminy powinna bowiem zawierać m.in. wnioski z diagnozy, cele strategiczne rozwoju w wymiarze 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 zakresie kształtowania i prowadzenia polityki przestrzennej w gminie, obszary strategicznej interwencji określone w strategii rozwoju województwa wraz z zakresem planowanych działań, obszary strategicznej interwencji kluczowe dla gminy, jeżeli takie zidentyfikowano, wraz z zakresem planowanych działań, system realizacji strategii, w tym wytyczne do sporządzania dokumentów wykonawczych oraz ramy finansowe i źródła finansowania.</w:t>
      </w:r>
    </w:p>
    <w:p w14:paraId="7B25E69E" w14:textId="7612A84D" w:rsidR="00ED6958" w:rsidRDefault="00ED6958" w:rsidP="005902D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1" w:name="_Hlk109727219"/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Weryfikacj</w:t>
      </w:r>
      <w:r w:rsidR="000F103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dokumentu potwierdziła, że </w:t>
      </w:r>
      <w:r w:rsidR="00E931C4" w:rsidRPr="00E931C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E931C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zawiera elementy o których mowa w art. 10e ust. 3 i 4 </w:t>
      </w:r>
      <w:proofErr w:type="spellStart"/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bookmarkEnd w:id="11"/>
      <w:r w:rsidR="00AE67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jednakże w stosunku do niektórych z nich Zarząd Województwa Podkarpackiego wskazuje Projektodawcy rekomendacje, których uwzględnienie wzmocni spójność opiniowanego dokumentu.</w:t>
      </w:r>
    </w:p>
    <w:p w14:paraId="7501CE2C" w14:textId="0046179C" w:rsidR="000F103C" w:rsidRPr="005F128E" w:rsidRDefault="000F103C" w:rsidP="000F103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odniesieniu do zawartej w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diagnozy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Zarząd Województwa Podkarpackiego do rozważenia przez Projektodawcę pozostawia możliwość ponownej weryfikacji 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ewentualnego uzupełnienia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jej 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części analitycznej o komentarze 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 płynące 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oceny zaprezentowanych danych, ujęcie ich porównawczo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stosunku do innych samorządów, a także dodanie zapisów będących podstawą dla dalszych rozstrzygnięć kierunkowych np. w zakresie obszarów chronionych i walorów krajobrazowych, a także dostępności cyfrowej Gminy. Dodatkowo sugeruje sprawdzenie ich wewnętrznej spójności z uwagi na pojawiające się w </w:t>
      </w:r>
      <w:r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odmienne zapisy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pomiędzy częścią diagnostyczną a analizą SWOT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B8B83EB" w14:textId="3B8F0682" w:rsidR="000F103C" w:rsidRDefault="000F103C" w:rsidP="000F103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zawarto model struktury funkcjonalno-przestrzennej gminy. W odniesieniu do jego formy graficznej Zarząd Województwa Podkarpackiego rekomenduje uwzględnienie w nim gazociągów przesyłowych przebiegających przez teren gminy, a także ponowną weryfikację przebiegu linii elektroenergetycznych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uwagi na niewłaściwe ich opisanie. 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Rekomenduje ponadto przedstawianie elementów 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dotyczących tych samych zagadnień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odnoszących się do uwarunkowań przyrodniczych i</w:t>
      </w:r>
      <w:r w:rsidR="003347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infrastrukturalnych (mapy 9 i 13) 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jednej mapie, a także ujednolic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stosowanych oznaczeń dla tożsamych odniesień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dotyczących linii kolejowych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Dodatkowo, zwraca uwagę, że niektóre spośród elementów wskazanych w legend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zie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 13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 zostały na ni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zaprezentowane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co wpływa na jej czytelność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Poprawy wymaga także oznaczeni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ogi krajowej, która została opisana jako droga wojewódzka. Ponadto forma graficzna modelu mało czytelnie przedstawia sieć osadniczą, która jest istotnym jego elementem.</w:t>
      </w:r>
    </w:p>
    <w:p w14:paraId="6CEB884F" w14:textId="4396A182" w:rsidR="00DF2CA4" w:rsidRPr="005F128E" w:rsidRDefault="00E931C4" w:rsidP="005902D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</w:t>
      </w:r>
      <w:r w:rsidR="00DF2CA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wykazała właściwe przypisanie gminy, zarówno w</w:t>
      </w:r>
      <w:r w:rsidR="00397C68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2CA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wersji </w:t>
      </w:r>
      <w:r w:rsidR="00397C68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tekstowej</w:t>
      </w:r>
      <w:r w:rsidR="00DF2CA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jak i graficznej, do regionalnych obszarów strategicznej interwencji</w:t>
      </w:r>
      <w:r w:rsidR="009F025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(OSI)</w:t>
      </w:r>
      <w:r w:rsidR="00DF2CA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tj. </w:t>
      </w:r>
      <w:r w:rsidR="00D208C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Priorytetu 7.3. </w:t>
      </w:r>
      <w:r w:rsidR="00D208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Obszary wymagające szczególnego wsparcia w kontekście równoważenia</w:t>
      </w:r>
      <w:r w:rsidR="00884313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rozwoju</w:t>
      </w:r>
      <w:r w:rsidR="00D208C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w jego ramach Kierunku działania 7.3.1. </w:t>
      </w:r>
      <w:r w:rsidR="00D208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Wzmocnienie szans rozwojowych obszarów zagrożonych trwałą marginalizacją</w:t>
      </w:r>
      <w:r w:rsidR="004E76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w województwie</w:t>
      </w:r>
      <w:r w:rsidR="00D208C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Priorytetu 7.4. </w:t>
      </w:r>
      <w:r w:rsidR="00D208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Obszary wiejskie – wysoka jakość przestrzeni do zamieszkania, pracy i</w:t>
      </w:r>
      <w:r w:rsidR="004E76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 </w:t>
      </w:r>
      <w:r w:rsidR="00D208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wypoczynku, </w:t>
      </w:r>
      <w:r w:rsidR="00D208C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tym</w:t>
      </w:r>
      <w:r w:rsidR="00D208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208C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wyodrębnionych w jego ramach Kierunków działań 7.4.1. </w:t>
      </w:r>
      <w:r w:rsidR="00D208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Wielofunkcyjny rozwój obszarów wiejskich poprzez rozwój infrastruktury technicznej</w:t>
      </w:r>
      <w:r w:rsidR="00D208C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7.4.2. </w:t>
      </w:r>
      <w:r w:rsidR="00D208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Rozwój przedsiębiorczości na obszarach wiejskich</w:t>
      </w:r>
      <w:r w:rsidR="00D208C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7.4.3. </w:t>
      </w:r>
      <w:r w:rsidR="00D208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Integracja</w:t>
      </w:r>
      <w:r w:rsidR="005902D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208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i</w:t>
      </w:r>
      <w:r w:rsidR="004E76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 </w:t>
      </w:r>
      <w:r w:rsidR="00D208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aktywizacja społeczności wiejskiej w aspekcie społecznym i kulturowym</w:t>
      </w:r>
      <w:r w:rsidR="00D208C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F025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</w:t>
      </w:r>
      <w:r w:rsidR="00D208C4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7.4.4. </w:t>
      </w:r>
      <w:r w:rsidR="00D208C4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Racjonalizacja przestrzeni wiejskiej</w:t>
      </w:r>
      <w:r w:rsidR="001349DA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ramach ww. kierunków wskazano zakładane działania.</w:t>
      </w:r>
    </w:p>
    <w:p w14:paraId="58567970" w14:textId="19F7AD4D" w:rsidR="003545D0" w:rsidRPr="005F128E" w:rsidRDefault="005902D1" w:rsidP="005902D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902D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E67B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3545D0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3545D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uwzględni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ono</w:t>
      </w:r>
      <w:r w:rsidR="003545D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54AD9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także </w:t>
      </w:r>
      <w:r w:rsidR="003545D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obszary funkcjonalne ujęte w </w:t>
      </w:r>
      <w:r w:rsidR="003545D0"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Planie Zagospodarowania Przestrzennego Województwa Podkarpackiego – Perspektywa 2030</w:t>
      </w:r>
      <w:r w:rsidR="003545D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825E758" w14:textId="5415CC88" w:rsidR="001B4751" w:rsidRPr="005F128E" w:rsidRDefault="00700AC5" w:rsidP="005902D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sugeruje również, aby zapis zawarty w </w:t>
      </w:r>
      <w:r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odnoszący się</w:t>
      </w:r>
      <w:r w:rsidR="005F128E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F128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Ponadlokalnego dla Partnerstwa Kolbuszowskiego na lata 2022-2030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(str. 96) uzupełnić </w:t>
      </w:r>
      <w:r w:rsidR="001B4751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rolę jaką w przedmiotowym dokumencie będzie pełnić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Gmina Cmolas</w:t>
      </w:r>
      <w:r w:rsidR="001B4751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B4751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tym kontekście zwraca też uwagę na </w:t>
      </w:r>
      <w:r w:rsidR="00A328D0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obowiązujące przepisy krajowe wprowadzające </w:t>
      </w:r>
      <w:r w:rsidR="001B4751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obowiązek  spójnego programowania na każdym z poziomów zarządzania rozwojem.</w:t>
      </w:r>
    </w:p>
    <w:p w14:paraId="49518992" w14:textId="5BE7EADE" w:rsidR="00595089" w:rsidRPr="005F128E" w:rsidRDefault="002F0C2E" w:rsidP="005902D1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</w:t>
      </w:r>
      <w:r w:rsidR="00A21368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owyższe</w:t>
      </w:r>
      <w:r w:rsidR="0081515C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ustalenia i rekomendacje,</w:t>
      </w:r>
      <w:r w:rsidR="00551289"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także zakres ustawowy przedmiotowej opinii n</w:t>
      </w:r>
      <w:r w:rsidR="00F60F6C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="00F60F6C" w:rsidRPr="005F128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</w:t>
      </w:r>
      <w:r w:rsidR="00285679" w:rsidRPr="005F128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 </w:t>
      </w:r>
      <w:r w:rsidR="00F60F6C" w:rsidRPr="005F128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samorządzie województwa</w:t>
      </w:r>
      <w:r w:rsidR="00F60F6C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F60F6C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="00F60F6C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</w:t>
      </w:r>
      <w:r w:rsidR="00D078A4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</w:t>
      </w:r>
      <w:r w:rsidR="00F60F6C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2022 r. poz. </w:t>
      </w:r>
      <w:r w:rsidR="00723F01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>2094</w:t>
      </w:r>
      <w:r w:rsidR="00F60F6C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w związku z art. 10f ust. 2 i 3 </w:t>
      </w:r>
      <w:proofErr w:type="spellStart"/>
      <w:r w:rsidR="00E05F9C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="00E05F9C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F12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="00F60F6C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postanawia </w:t>
      </w:r>
      <w:r w:rsidR="00E931C4">
        <w:rPr>
          <w:rFonts w:ascii="Arial" w:eastAsia="Times New Roman" w:hAnsi="Arial" w:cs="Arial"/>
          <w:color w:val="000000" w:themeColor="text1"/>
          <w:sz w:val="24"/>
          <w:szCs w:val="24"/>
        </w:rPr>
        <w:t>negaty</w:t>
      </w:r>
      <w:r w:rsidR="001A279C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>wnie</w:t>
      </w:r>
      <w:r w:rsidR="001B4751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0F6C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zaopiniować </w:t>
      </w:r>
      <w:r w:rsidR="001A279C" w:rsidRPr="005F128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P</w:t>
      </w:r>
      <w:r w:rsidR="00F60F6C" w:rsidRPr="005F128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rojekt Strategii Rozwoju Gminy </w:t>
      </w:r>
      <w:r w:rsidR="001B4751" w:rsidRPr="005F128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Cmolas</w:t>
      </w:r>
      <w:r w:rsidR="001A279C" w:rsidRPr="005F128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2022-2030</w:t>
      </w:r>
      <w:r w:rsidR="001E5457" w:rsidRPr="005F128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6C3238" w:rsidRPr="005F128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="006C3238" w:rsidRPr="005F128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A21368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>uwzględnieni</w:t>
      </w:r>
      <w:r w:rsidR="006C3238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A21368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</w:t>
      </w:r>
      <w:r w:rsidR="00935B40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91E2E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>nim</w:t>
      </w:r>
      <w:r w:rsidR="00A21368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ustaleń i rekomendacji </w:t>
      </w:r>
      <w:r w:rsidR="00C91E2E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>dotyczących</w:t>
      </w:r>
      <w:r w:rsidR="00A21368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kształtowania i prowadzenia polityki przestrzennej w</w:t>
      </w:r>
      <w:r w:rsidR="00A328D0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21368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>województwie określonych w</w:t>
      </w:r>
      <w:r w:rsidR="00C91E2E" w:rsidRPr="005F12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21368" w:rsidRPr="005F128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</w:t>
      </w:r>
      <w:r w:rsidR="00595089" w:rsidRPr="005F128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trategii rozwoju województwa – Podkarpackie 2030</w:t>
      </w:r>
      <w:r w:rsidR="006C3238" w:rsidRPr="005F128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p w14:paraId="76433140" w14:textId="437FB0B9" w:rsidR="005902D1" w:rsidRDefault="00F95FB7" w:rsidP="005902D1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Z uwagi na treść niniejszej uchwały</w:t>
      </w:r>
      <w:r w:rsidR="005902D1"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rekomenduje się wprowadzenie w toku dalszego procedowania </w:t>
      </w:r>
      <w:r w:rsidR="005902D1" w:rsidRPr="00471E40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SRG</w:t>
      </w:r>
      <w:r w:rsidR="005902D1"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zmian o których mowa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powyżej</w:t>
      </w:r>
      <w:r w:rsidR="005902D1"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a następnie ponowne przedłożenie </w:t>
      </w:r>
      <w:r w:rsidR="005902D1" w:rsidRPr="001679B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Projektu </w:t>
      </w:r>
      <w:r w:rsidR="005902D1" w:rsidRPr="005F128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Strategii Rozwoju Gminy Cmolas 2022-2030</w:t>
      </w:r>
      <w:r w:rsidR="005902D1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02D1"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do opiniowania</w:t>
      </w:r>
      <w:r w:rsidR="005902D1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przez Zarząd Województwa Podkarpackiego.</w:t>
      </w:r>
    </w:p>
    <w:sectPr w:rsidR="005902D1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B9E9" w14:textId="77777777" w:rsidR="00250E9D" w:rsidRDefault="00250E9D" w:rsidP="00DF7F37">
      <w:pPr>
        <w:spacing w:after="0" w:line="240" w:lineRule="auto"/>
      </w:pPr>
      <w:r>
        <w:separator/>
      </w:r>
    </w:p>
  </w:endnote>
  <w:endnote w:type="continuationSeparator" w:id="0">
    <w:p w14:paraId="70829679" w14:textId="77777777" w:rsidR="00250E9D" w:rsidRDefault="00250E9D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4583" w14:textId="77777777" w:rsidR="00250E9D" w:rsidRDefault="00250E9D" w:rsidP="00DF7F37">
      <w:pPr>
        <w:spacing w:after="0" w:line="240" w:lineRule="auto"/>
      </w:pPr>
      <w:r>
        <w:separator/>
      </w:r>
    </w:p>
  </w:footnote>
  <w:footnote w:type="continuationSeparator" w:id="0">
    <w:p w14:paraId="5988DDF0" w14:textId="77777777" w:rsidR="00250E9D" w:rsidRDefault="00250E9D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044102">
    <w:abstractNumId w:val="6"/>
  </w:num>
  <w:num w:numId="2" w16cid:durableId="1858806431">
    <w:abstractNumId w:val="8"/>
  </w:num>
  <w:num w:numId="3" w16cid:durableId="692003478">
    <w:abstractNumId w:val="0"/>
  </w:num>
  <w:num w:numId="4" w16cid:durableId="1928617429">
    <w:abstractNumId w:val="1"/>
  </w:num>
  <w:num w:numId="5" w16cid:durableId="495463616">
    <w:abstractNumId w:val="5"/>
  </w:num>
  <w:num w:numId="6" w16cid:durableId="860438382">
    <w:abstractNumId w:val="7"/>
  </w:num>
  <w:num w:numId="7" w16cid:durableId="182477545">
    <w:abstractNumId w:val="3"/>
  </w:num>
  <w:num w:numId="8" w16cid:durableId="1465540429">
    <w:abstractNumId w:val="4"/>
  </w:num>
  <w:num w:numId="9" w16cid:durableId="733089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E0"/>
    <w:rsid w:val="00000370"/>
    <w:rsid w:val="00000CD0"/>
    <w:rsid w:val="0000225C"/>
    <w:rsid w:val="00004F76"/>
    <w:rsid w:val="00006C3E"/>
    <w:rsid w:val="00007ABA"/>
    <w:rsid w:val="00010437"/>
    <w:rsid w:val="00010693"/>
    <w:rsid w:val="0001132B"/>
    <w:rsid w:val="00011A40"/>
    <w:rsid w:val="00012CCF"/>
    <w:rsid w:val="00014B57"/>
    <w:rsid w:val="00017E64"/>
    <w:rsid w:val="000226C2"/>
    <w:rsid w:val="000234CC"/>
    <w:rsid w:val="00024974"/>
    <w:rsid w:val="00030181"/>
    <w:rsid w:val="00030797"/>
    <w:rsid w:val="0003165D"/>
    <w:rsid w:val="00040685"/>
    <w:rsid w:val="000431A8"/>
    <w:rsid w:val="00050A63"/>
    <w:rsid w:val="00053FDA"/>
    <w:rsid w:val="0005448D"/>
    <w:rsid w:val="00056809"/>
    <w:rsid w:val="000608E5"/>
    <w:rsid w:val="00060C8E"/>
    <w:rsid w:val="00063522"/>
    <w:rsid w:val="0006383B"/>
    <w:rsid w:val="0006566A"/>
    <w:rsid w:val="00065B54"/>
    <w:rsid w:val="0007022A"/>
    <w:rsid w:val="00073075"/>
    <w:rsid w:val="00073AB8"/>
    <w:rsid w:val="0007480E"/>
    <w:rsid w:val="00075197"/>
    <w:rsid w:val="0008604B"/>
    <w:rsid w:val="00087655"/>
    <w:rsid w:val="000901A3"/>
    <w:rsid w:val="000905AC"/>
    <w:rsid w:val="000928B9"/>
    <w:rsid w:val="00093BBD"/>
    <w:rsid w:val="00093FBB"/>
    <w:rsid w:val="00095085"/>
    <w:rsid w:val="00095ED8"/>
    <w:rsid w:val="0009776A"/>
    <w:rsid w:val="000A0720"/>
    <w:rsid w:val="000A355C"/>
    <w:rsid w:val="000A7AEC"/>
    <w:rsid w:val="000A7F44"/>
    <w:rsid w:val="000B2DF6"/>
    <w:rsid w:val="000B3F52"/>
    <w:rsid w:val="000C04B3"/>
    <w:rsid w:val="000C1D13"/>
    <w:rsid w:val="000C2B7D"/>
    <w:rsid w:val="000C4B00"/>
    <w:rsid w:val="000C4CDA"/>
    <w:rsid w:val="000C6443"/>
    <w:rsid w:val="000D07B7"/>
    <w:rsid w:val="000D5C35"/>
    <w:rsid w:val="000E00A7"/>
    <w:rsid w:val="000E323B"/>
    <w:rsid w:val="000E4E89"/>
    <w:rsid w:val="000E544F"/>
    <w:rsid w:val="000F103C"/>
    <w:rsid w:val="000F361F"/>
    <w:rsid w:val="000F4055"/>
    <w:rsid w:val="000F693E"/>
    <w:rsid w:val="000F6A01"/>
    <w:rsid w:val="00101805"/>
    <w:rsid w:val="00101B30"/>
    <w:rsid w:val="00103737"/>
    <w:rsid w:val="00105B81"/>
    <w:rsid w:val="00105F2C"/>
    <w:rsid w:val="00110977"/>
    <w:rsid w:val="00110C82"/>
    <w:rsid w:val="001129FE"/>
    <w:rsid w:val="00113362"/>
    <w:rsid w:val="0011411E"/>
    <w:rsid w:val="001146B9"/>
    <w:rsid w:val="0012065A"/>
    <w:rsid w:val="001217C6"/>
    <w:rsid w:val="001227F8"/>
    <w:rsid w:val="00123E0B"/>
    <w:rsid w:val="00124ED2"/>
    <w:rsid w:val="0013095E"/>
    <w:rsid w:val="001340D0"/>
    <w:rsid w:val="001349DA"/>
    <w:rsid w:val="00136873"/>
    <w:rsid w:val="00136C30"/>
    <w:rsid w:val="00137B33"/>
    <w:rsid w:val="00140599"/>
    <w:rsid w:val="0014274A"/>
    <w:rsid w:val="001430F1"/>
    <w:rsid w:val="001501AB"/>
    <w:rsid w:val="001509E0"/>
    <w:rsid w:val="001514AA"/>
    <w:rsid w:val="00151ACC"/>
    <w:rsid w:val="00151E63"/>
    <w:rsid w:val="001667C1"/>
    <w:rsid w:val="00171FC5"/>
    <w:rsid w:val="001729CA"/>
    <w:rsid w:val="00174097"/>
    <w:rsid w:val="00174E04"/>
    <w:rsid w:val="00176D45"/>
    <w:rsid w:val="00177F5A"/>
    <w:rsid w:val="001804DA"/>
    <w:rsid w:val="001810AE"/>
    <w:rsid w:val="0018117D"/>
    <w:rsid w:val="001816DA"/>
    <w:rsid w:val="00182D95"/>
    <w:rsid w:val="00185813"/>
    <w:rsid w:val="00185B99"/>
    <w:rsid w:val="00187D9C"/>
    <w:rsid w:val="0019218F"/>
    <w:rsid w:val="001931C0"/>
    <w:rsid w:val="001934CF"/>
    <w:rsid w:val="00193892"/>
    <w:rsid w:val="001951B3"/>
    <w:rsid w:val="001968D7"/>
    <w:rsid w:val="001A0849"/>
    <w:rsid w:val="001A279C"/>
    <w:rsid w:val="001A32E5"/>
    <w:rsid w:val="001A4C2B"/>
    <w:rsid w:val="001A5E49"/>
    <w:rsid w:val="001A7897"/>
    <w:rsid w:val="001A7A88"/>
    <w:rsid w:val="001B07D6"/>
    <w:rsid w:val="001B2806"/>
    <w:rsid w:val="001B30BE"/>
    <w:rsid w:val="001B34F4"/>
    <w:rsid w:val="001B3D7D"/>
    <w:rsid w:val="001B3E65"/>
    <w:rsid w:val="001B4751"/>
    <w:rsid w:val="001C06C1"/>
    <w:rsid w:val="001C1AE5"/>
    <w:rsid w:val="001C760A"/>
    <w:rsid w:val="001C7665"/>
    <w:rsid w:val="001D0CA5"/>
    <w:rsid w:val="001D542C"/>
    <w:rsid w:val="001D5C14"/>
    <w:rsid w:val="001D6B8A"/>
    <w:rsid w:val="001E06C7"/>
    <w:rsid w:val="001E42BF"/>
    <w:rsid w:val="001E4482"/>
    <w:rsid w:val="001E5457"/>
    <w:rsid w:val="001E5819"/>
    <w:rsid w:val="001F0F03"/>
    <w:rsid w:val="001F3D3A"/>
    <w:rsid w:val="001F7B0F"/>
    <w:rsid w:val="002028F8"/>
    <w:rsid w:val="00202B0A"/>
    <w:rsid w:val="0020421B"/>
    <w:rsid w:val="00204CCE"/>
    <w:rsid w:val="0020500A"/>
    <w:rsid w:val="002105A8"/>
    <w:rsid w:val="002115B6"/>
    <w:rsid w:val="00211C52"/>
    <w:rsid w:val="002165E9"/>
    <w:rsid w:val="00220145"/>
    <w:rsid w:val="00220493"/>
    <w:rsid w:val="00221E39"/>
    <w:rsid w:val="00226304"/>
    <w:rsid w:val="002268CE"/>
    <w:rsid w:val="00227874"/>
    <w:rsid w:val="002300F3"/>
    <w:rsid w:val="002308C0"/>
    <w:rsid w:val="002318C2"/>
    <w:rsid w:val="002339E9"/>
    <w:rsid w:val="002375B2"/>
    <w:rsid w:val="00242427"/>
    <w:rsid w:val="00243B7D"/>
    <w:rsid w:val="0024448E"/>
    <w:rsid w:val="00244A1E"/>
    <w:rsid w:val="002451DF"/>
    <w:rsid w:val="00245DA3"/>
    <w:rsid w:val="002471DC"/>
    <w:rsid w:val="0024735F"/>
    <w:rsid w:val="00250E9D"/>
    <w:rsid w:val="00253844"/>
    <w:rsid w:val="002569BC"/>
    <w:rsid w:val="0025795B"/>
    <w:rsid w:val="00262972"/>
    <w:rsid w:val="00263FCE"/>
    <w:rsid w:val="00264D85"/>
    <w:rsid w:val="00264E2F"/>
    <w:rsid w:val="002678BA"/>
    <w:rsid w:val="002730F7"/>
    <w:rsid w:val="00283AB2"/>
    <w:rsid w:val="00284F94"/>
    <w:rsid w:val="00285679"/>
    <w:rsid w:val="00285BCA"/>
    <w:rsid w:val="00286783"/>
    <w:rsid w:val="00290302"/>
    <w:rsid w:val="00290349"/>
    <w:rsid w:val="00291AE2"/>
    <w:rsid w:val="00294226"/>
    <w:rsid w:val="00294D25"/>
    <w:rsid w:val="00295F92"/>
    <w:rsid w:val="00296C24"/>
    <w:rsid w:val="002A0FD4"/>
    <w:rsid w:val="002A232F"/>
    <w:rsid w:val="002A4048"/>
    <w:rsid w:val="002A57F5"/>
    <w:rsid w:val="002A69EB"/>
    <w:rsid w:val="002B0A1A"/>
    <w:rsid w:val="002B25B6"/>
    <w:rsid w:val="002B2D34"/>
    <w:rsid w:val="002B3127"/>
    <w:rsid w:val="002B5928"/>
    <w:rsid w:val="002B67E7"/>
    <w:rsid w:val="002B7271"/>
    <w:rsid w:val="002C00C3"/>
    <w:rsid w:val="002C693E"/>
    <w:rsid w:val="002D1091"/>
    <w:rsid w:val="002D20D9"/>
    <w:rsid w:val="002D7067"/>
    <w:rsid w:val="002D7361"/>
    <w:rsid w:val="002E05F1"/>
    <w:rsid w:val="002E6526"/>
    <w:rsid w:val="002F0C2E"/>
    <w:rsid w:val="002F3349"/>
    <w:rsid w:val="002F59D2"/>
    <w:rsid w:val="002F6B0D"/>
    <w:rsid w:val="00300D8D"/>
    <w:rsid w:val="00301382"/>
    <w:rsid w:val="003015BF"/>
    <w:rsid w:val="00301E79"/>
    <w:rsid w:val="00305182"/>
    <w:rsid w:val="003077B5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7E2"/>
    <w:rsid w:val="00334D76"/>
    <w:rsid w:val="003357A7"/>
    <w:rsid w:val="00340937"/>
    <w:rsid w:val="00344617"/>
    <w:rsid w:val="00344DE1"/>
    <w:rsid w:val="00345403"/>
    <w:rsid w:val="00345ADE"/>
    <w:rsid w:val="003475B0"/>
    <w:rsid w:val="00350E25"/>
    <w:rsid w:val="003528CE"/>
    <w:rsid w:val="00353162"/>
    <w:rsid w:val="0035387D"/>
    <w:rsid w:val="003545D0"/>
    <w:rsid w:val="00361C24"/>
    <w:rsid w:val="00363650"/>
    <w:rsid w:val="00363EF1"/>
    <w:rsid w:val="003641DA"/>
    <w:rsid w:val="003661F3"/>
    <w:rsid w:val="003703BF"/>
    <w:rsid w:val="00371364"/>
    <w:rsid w:val="00374B08"/>
    <w:rsid w:val="003756DE"/>
    <w:rsid w:val="0037592F"/>
    <w:rsid w:val="00387D5E"/>
    <w:rsid w:val="0039062A"/>
    <w:rsid w:val="00392611"/>
    <w:rsid w:val="00392AD6"/>
    <w:rsid w:val="00393B3A"/>
    <w:rsid w:val="00394B8B"/>
    <w:rsid w:val="0039593C"/>
    <w:rsid w:val="00397057"/>
    <w:rsid w:val="00397C68"/>
    <w:rsid w:val="003A05EF"/>
    <w:rsid w:val="003A2D47"/>
    <w:rsid w:val="003A655B"/>
    <w:rsid w:val="003B0E06"/>
    <w:rsid w:val="003B148F"/>
    <w:rsid w:val="003B1C73"/>
    <w:rsid w:val="003B79AC"/>
    <w:rsid w:val="003C078A"/>
    <w:rsid w:val="003C2A71"/>
    <w:rsid w:val="003C5255"/>
    <w:rsid w:val="003D0817"/>
    <w:rsid w:val="003D177D"/>
    <w:rsid w:val="003D2444"/>
    <w:rsid w:val="003D41CB"/>
    <w:rsid w:val="003D7AEB"/>
    <w:rsid w:val="003E01CC"/>
    <w:rsid w:val="003E0699"/>
    <w:rsid w:val="003E226B"/>
    <w:rsid w:val="003E414A"/>
    <w:rsid w:val="003E4813"/>
    <w:rsid w:val="003E4F46"/>
    <w:rsid w:val="003F1011"/>
    <w:rsid w:val="0040259C"/>
    <w:rsid w:val="00410A16"/>
    <w:rsid w:val="00410DD0"/>
    <w:rsid w:val="00411444"/>
    <w:rsid w:val="00412E16"/>
    <w:rsid w:val="004138EC"/>
    <w:rsid w:val="00422225"/>
    <w:rsid w:val="0042242A"/>
    <w:rsid w:val="00425D5D"/>
    <w:rsid w:val="00427668"/>
    <w:rsid w:val="00427A6D"/>
    <w:rsid w:val="0043025D"/>
    <w:rsid w:val="00430C1C"/>
    <w:rsid w:val="00430C69"/>
    <w:rsid w:val="004327EC"/>
    <w:rsid w:val="0043405D"/>
    <w:rsid w:val="00435331"/>
    <w:rsid w:val="00435FC2"/>
    <w:rsid w:val="00443D69"/>
    <w:rsid w:val="004462EF"/>
    <w:rsid w:val="004507BE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873"/>
    <w:rsid w:val="00481EC9"/>
    <w:rsid w:val="00487DB0"/>
    <w:rsid w:val="00495D29"/>
    <w:rsid w:val="004A5DBF"/>
    <w:rsid w:val="004A7EB0"/>
    <w:rsid w:val="004B1C0B"/>
    <w:rsid w:val="004B600A"/>
    <w:rsid w:val="004B6686"/>
    <w:rsid w:val="004C032B"/>
    <w:rsid w:val="004C0B77"/>
    <w:rsid w:val="004C3C33"/>
    <w:rsid w:val="004C4E3E"/>
    <w:rsid w:val="004C5185"/>
    <w:rsid w:val="004C542E"/>
    <w:rsid w:val="004C5756"/>
    <w:rsid w:val="004D2A30"/>
    <w:rsid w:val="004D3DA0"/>
    <w:rsid w:val="004D6B15"/>
    <w:rsid w:val="004E0BFC"/>
    <w:rsid w:val="004E0D3F"/>
    <w:rsid w:val="004E1C3A"/>
    <w:rsid w:val="004E671C"/>
    <w:rsid w:val="004E76C4"/>
    <w:rsid w:val="004F02BC"/>
    <w:rsid w:val="004F0C1F"/>
    <w:rsid w:val="004F181E"/>
    <w:rsid w:val="004F41F7"/>
    <w:rsid w:val="004F4A3E"/>
    <w:rsid w:val="004F58F9"/>
    <w:rsid w:val="004F5EF4"/>
    <w:rsid w:val="004F6EBC"/>
    <w:rsid w:val="005008E7"/>
    <w:rsid w:val="005012E9"/>
    <w:rsid w:val="00504760"/>
    <w:rsid w:val="005078D8"/>
    <w:rsid w:val="00511714"/>
    <w:rsid w:val="00511E59"/>
    <w:rsid w:val="00513158"/>
    <w:rsid w:val="0051567D"/>
    <w:rsid w:val="00515B3A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579"/>
    <w:rsid w:val="00541315"/>
    <w:rsid w:val="00541AEA"/>
    <w:rsid w:val="005449AA"/>
    <w:rsid w:val="00546B24"/>
    <w:rsid w:val="00551289"/>
    <w:rsid w:val="00553028"/>
    <w:rsid w:val="00554B49"/>
    <w:rsid w:val="00554CAD"/>
    <w:rsid w:val="00555B3F"/>
    <w:rsid w:val="00556CA3"/>
    <w:rsid w:val="0055735D"/>
    <w:rsid w:val="00557BC6"/>
    <w:rsid w:val="00561612"/>
    <w:rsid w:val="00561CAD"/>
    <w:rsid w:val="00562087"/>
    <w:rsid w:val="00562855"/>
    <w:rsid w:val="00567597"/>
    <w:rsid w:val="00571D11"/>
    <w:rsid w:val="005723A3"/>
    <w:rsid w:val="005743E2"/>
    <w:rsid w:val="0057448E"/>
    <w:rsid w:val="00580F2F"/>
    <w:rsid w:val="005856D8"/>
    <w:rsid w:val="005870D6"/>
    <w:rsid w:val="00587457"/>
    <w:rsid w:val="005902D1"/>
    <w:rsid w:val="00595089"/>
    <w:rsid w:val="0059573E"/>
    <w:rsid w:val="00595C44"/>
    <w:rsid w:val="005A0491"/>
    <w:rsid w:val="005A1927"/>
    <w:rsid w:val="005A506C"/>
    <w:rsid w:val="005A5361"/>
    <w:rsid w:val="005B1F60"/>
    <w:rsid w:val="005B3429"/>
    <w:rsid w:val="005B4641"/>
    <w:rsid w:val="005B4E43"/>
    <w:rsid w:val="005B4FFA"/>
    <w:rsid w:val="005B5252"/>
    <w:rsid w:val="005B52EC"/>
    <w:rsid w:val="005B6656"/>
    <w:rsid w:val="005C40E1"/>
    <w:rsid w:val="005C4996"/>
    <w:rsid w:val="005C4FB6"/>
    <w:rsid w:val="005C56B1"/>
    <w:rsid w:val="005C5E37"/>
    <w:rsid w:val="005C6212"/>
    <w:rsid w:val="005D011E"/>
    <w:rsid w:val="005D0EF8"/>
    <w:rsid w:val="005D16D4"/>
    <w:rsid w:val="005D20AA"/>
    <w:rsid w:val="005D6B3E"/>
    <w:rsid w:val="005D7FC9"/>
    <w:rsid w:val="005E191A"/>
    <w:rsid w:val="005E5815"/>
    <w:rsid w:val="005E6C76"/>
    <w:rsid w:val="005E72C3"/>
    <w:rsid w:val="005F128E"/>
    <w:rsid w:val="005F197D"/>
    <w:rsid w:val="005F3536"/>
    <w:rsid w:val="00601D12"/>
    <w:rsid w:val="0060362A"/>
    <w:rsid w:val="00605618"/>
    <w:rsid w:val="006058E4"/>
    <w:rsid w:val="00606537"/>
    <w:rsid w:val="006075EF"/>
    <w:rsid w:val="00612356"/>
    <w:rsid w:val="0061315C"/>
    <w:rsid w:val="00614ABF"/>
    <w:rsid w:val="00621174"/>
    <w:rsid w:val="00622962"/>
    <w:rsid w:val="006239FE"/>
    <w:rsid w:val="0062635B"/>
    <w:rsid w:val="00626AF5"/>
    <w:rsid w:val="00627F81"/>
    <w:rsid w:val="00633C93"/>
    <w:rsid w:val="00636DC7"/>
    <w:rsid w:val="00637790"/>
    <w:rsid w:val="00642042"/>
    <w:rsid w:val="006429BB"/>
    <w:rsid w:val="006442D5"/>
    <w:rsid w:val="006518ED"/>
    <w:rsid w:val="006554DB"/>
    <w:rsid w:val="0065607F"/>
    <w:rsid w:val="00657A94"/>
    <w:rsid w:val="00672309"/>
    <w:rsid w:val="00677550"/>
    <w:rsid w:val="00680970"/>
    <w:rsid w:val="00684219"/>
    <w:rsid w:val="0069572D"/>
    <w:rsid w:val="006957D1"/>
    <w:rsid w:val="0069665C"/>
    <w:rsid w:val="006A165E"/>
    <w:rsid w:val="006A446F"/>
    <w:rsid w:val="006A5880"/>
    <w:rsid w:val="006A7867"/>
    <w:rsid w:val="006B0316"/>
    <w:rsid w:val="006B140A"/>
    <w:rsid w:val="006B3000"/>
    <w:rsid w:val="006B37F5"/>
    <w:rsid w:val="006B4B0E"/>
    <w:rsid w:val="006B4E01"/>
    <w:rsid w:val="006B5149"/>
    <w:rsid w:val="006B53EE"/>
    <w:rsid w:val="006B60CD"/>
    <w:rsid w:val="006C20ED"/>
    <w:rsid w:val="006C21D4"/>
    <w:rsid w:val="006C26CE"/>
    <w:rsid w:val="006C3238"/>
    <w:rsid w:val="006C4C51"/>
    <w:rsid w:val="006C50F9"/>
    <w:rsid w:val="006C6059"/>
    <w:rsid w:val="006D0CFF"/>
    <w:rsid w:val="006D182A"/>
    <w:rsid w:val="006D6240"/>
    <w:rsid w:val="006E387D"/>
    <w:rsid w:val="006F2A6B"/>
    <w:rsid w:val="006F449B"/>
    <w:rsid w:val="006F6805"/>
    <w:rsid w:val="006F6DAC"/>
    <w:rsid w:val="0070045C"/>
    <w:rsid w:val="00700AC5"/>
    <w:rsid w:val="00700B63"/>
    <w:rsid w:val="007029EF"/>
    <w:rsid w:val="00720C52"/>
    <w:rsid w:val="007236DE"/>
    <w:rsid w:val="00723F01"/>
    <w:rsid w:val="00725543"/>
    <w:rsid w:val="007319F5"/>
    <w:rsid w:val="00735E34"/>
    <w:rsid w:val="007403F3"/>
    <w:rsid w:val="00742BF0"/>
    <w:rsid w:val="0074584B"/>
    <w:rsid w:val="007474BE"/>
    <w:rsid w:val="00755199"/>
    <w:rsid w:val="00761B71"/>
    <w:rsid w:val="00762386"/>
    <w:rsid w:val="00764993"/>
    <w:rsid w:val="0076579B"/>
    <w:rsid w:val="007723EC"/>
    <w:rsid w:val="00772770"/>
    <w:rsid w:val="0078197E"/>
    <w:rsid w:val="00781F3A"/>
    <w:rsid w:val="00787D8E"/>
    <w:rsid w:val="00787FB0"/>
    <w:rsid w:val="0079037E"/>
    <w:rsid w:val="007954EF"/>
    <w:rsid w:val="00795CB9"/>
    <w:rsid w:val="00795FC2"/>
    <w:rsid w:val="00797356"/>
    <w:rsid w:val="0079737F"/>
    <w:rsid w:val="007A05AA"/>
    <w:rsid w:val="007A27EC"/>
    <w:rsid w:val="007A6284"/>
    <w:rsid w:val="007B0FE0"/>
    <w:rsid w:val="007B104E"/>
    <w:rsid w:val="007B1445"/>
    <w:rsid w:val="007B2142"/>
    <w:rsid w:val="007B35EF"/>
    <w:rsid w:val="007B65FE"/>
    <w:rsid w:val="007B718D"/>
    <w:rsid w:val="007B724B"/>
    <w:rsid w:val="007C0DEF"/>
    <w:rsid w:val="007C1AAB"/>
    <w:rsid w:val="007C254E"/>
    <w:rsid w:val="007C54B5"/>
    <w:rsid w:val="007C5C62"/>
    <w:rsid w:val="007C7C81"/>
    <w:rsid w:val="007D012D"/>
    <w:rsid w:val="007D052C"/>
    <w:rsid w:val="007D162D"/>
    <w:rsid w:val="007D24D4"/>
    <w:rsid w:val="007D7AF6"/>
    <w:rsid w:val="007E031E"/>
    <w:rsid w:val="007E0D72"/>
    <w:rsid w:val="007E31BF"/>
    <w:rsid w:val="007E3FB9"/>
    <w:rsid w:val="007E4C59"/>
    <w:rsid w:val="007F0634"/>
    <w:rsid w:val="007F272C"/>
    <w:rsid w:val="007F27B6"/>
    <w:rsid w:val="007F4555"/>
    <w:rsid w:val="008046A0"/>
    <w:rsid w:val="008069E5"/>
    <w:rsid w:val="00811413"/>
    <w:rsid w:val="00811711"/>
    <w:rsid w:val="00813207"/>
    <w:rsid w:val="0081515C"/>
    <w:rsid w:val="00821C2D"/>
    <w:rsid w:val="008220FD"/>
    <w:rsid w:val="0082223D"/>
    <w:rsid w:val="00822B7A"/>
    <w:rsid w:val="0082437E"/>
    <w:rsid w:val="00825515"/>
    <w:rsid w:val="00826C04"/>
    <w:rsid w:val="0083010C"/>
    <w:rsid w:val="00830D71"/>
    <w:rsid w:val="008312BC"/>
    <w:rsid w:val="0083391D"/>
    <w:rsid w:val="008343DD"/>
    <w:rsid w:val="00834B25"/>
    <w:rsid w:val="00835D57"/>
    <w:rsid w:val="00835EB8"/>
    <w:rsid w:val="00840CE2"/>
    <w:rsid w:val="00840E8C"/>
    <w:rsid w:val="00847B65"/>
    <w:rsid w:val="008516C2"/>
    <w:rsid w:val="008545D0"/>
    <w:rsid w:val="008570D6"/>
    <w:rsid w:val="00857215"/>
    <w:rsid w:val="00863579"/>
    <w:rsid w:val="00865E98"/>
    <w:rsid w:val="00866B3F"/>
    <w:rsid w:val="008671DF"/>
    <w:rsid w:val="00871351"/>
    <w:rsid w:val="00876F70"/>
    <w:rsid w:val="00880423"/>
    <w:rsid w:val="00880B72"/>
    <w:rsid w:val="00882783"/>
    <w:rsid w:val="00884313"/>
    <w:rsid w:val="00884551"/>
    <w:rsid w:val="00884B89"/>
    <w:rsid w:val="008858FB"/>
    <w:rsid w:val="008915A4"/>
    <w:rsid w:val="00891DCA"/>
    <w:rsid w:val="00894239"/>
    <w:rsid w:val="008946EF"/>
    <w:rsid w:val="00896D46"/>
    <w:rsid w:val="00897C7D"/>
    <w:rsid w:val="008A09BE"/>
    <w:rsid w:val="008A379B"/>
    <w:rsid w:val="008A4158"/>
    <w:rsid w:val="008B1BDB"/>
    <w:rsid w:val="008B1C90"/>
    <w:rsid w:val="008B33CC"/>
    <w:rsid w:val="008B3550"/>
    <w:rsid w:val="008B37C5"/>
    <w:rsid w:val="008B4E14"/>
    <w:rsid w:val="008B7F60"/>
    <w:rsid w:val="008C000B"/>
    <w:rsid w:val="008C2E05"/>
    <w:rsid w:val="008D11E3"/>
    <w:rsid w:val="008D1C80"/>
    <w:rsid w:val="008D76EE"/>
    <w:rsid w:val="008E377F"/>
    <w:rsid w:val="008E7282"/>
    <w:rsid w:val="008F3B85"/>
    <w:rsid w:val="008F3BD2"/>
    <w:rsid w:val="008F5B2F"/>
    <w:rsid w:val="008F5DD8"/>
    <w:rsid w:val="008F646E"/>
    <w:rsid w:val="00901814"/>
    <w:rsid w:val="00901D92"/>
    <w:rsid w:val="00901FFB"/>
    <w:rsid w:val="00902E6A"/>
    <w:rsid w:val="00905CF5"/>
    <w:rsid w:val="00906AD3"/>
    <w:rsid w:val="00907AB0"/>
    <w:rsid w:val="00910A7A"/>
    <w:rsid w:val="009116FA"/>
    <w:rsid w:val="00912AE5"/>
    <w:rsid w:val="009140BD"/>
    <w:rsid w:val="00914A3F"/>
    <w:rsid w:val="00920E5A"/>
    <w:rsid w:val="00921C68"/>
    <w:rsid w:val="00923692"/>
    <w:rsid w:val="00923A01"/>
    <w:rsid w:val="00925C75"/>
    <w:rsid w:val="009260F0"/>
    <w:rsid w:val="009266A0"/>
    <w:rsid w:val="00932E81"/>
    <w:rsid w:val="009344AD"/>
    <w:rsid w:val="00935B40"/>
    <w:rsid w:val="009360AA"/>
    <w:rsid w:val="0094254F"/>
    <w:rsid w:val="0094419F"/>
    <w:rsid w:val="00946974"/>
    <w:rsid w:val="009469CC"/>
    <w:rsid w:val="00947EB2"/>
    <w:rsid w:val="00950388"/>
    <w:rsid w:val="00950CCC"/>
    <w:rsid w:val="00954AD9"/>
    <w:rsid w:val="0095568C"/>
    <w:rsid w:val="0095587B"/>
    <w:rsid w:val="00963C4B"/>
    <w:rsid w:val="009662F4"/>
    <w:rsid w:val="00973302"/>
    <w:rsid w:val="00974743"/>
    <w:rsid w:val="00974EA1"/>
    <w:rsid w:val="0097519C"/>
    <w:rsid w:val="009757B2"/>
    <w:rsid w:val="00976DD3"/>
    <w:rsid w:val="009770C1"/>
    <w:rsid w:val="0098329D"/>
    <w:rsid w:val="009866C1"/>
    <w:rsid w:val="009878F2"/>
    <w:rsid w:val="00993F66"/>
    <w:rsid w:val="00995198"/>
    <w:rsid w:val="009A0604"/>
    <w:rsid w:val="009A1D3E"/>
    <w:rsid w:val="009A2573"/>
    <w:rsid w:val="009A33E4"/>
    <w:rsid w:val="009A5479"/>
    <w:rsid w:val="009A733C"/>
    <w:rsid w:val="009A752E"/>
    <w:rsid w:val="009A79CA"/>
    <w:rsid w:val="009B2258"/>
    <w:rsid w:val="009B2CBB"/>
    <w:rsid w:val="009B4BF6"/>
    <w:rsid w:val="009C5339"/>
    <w:rsid w:val="009D1051"/>
    <w:rsid w:val="009D4EE2"/>
    <w:rsid w:val="009D6B15"/>
    <w:rsid w:val="009E4074"/>
    <w:rsid w:val="009E4E99"/>
    <w:rsid w:val="009E511E"/>
    <w:rsid w:val="009E69BB"/>
    <w:rsid w:val="009F0250"/>
    <w:rsid w:val="009F0DB2"/>
    <w:rsid w:val="009F2696"/>
    <w:rsid w:val="009F3A37"/>
    <w:rsid w:val="009F434E"/>
    <w:rsid w:val="009F7FDF"/>
    <w:rsid w:val="00A05CF0"/>
    <w:rsid w:val="00A06C79"/>
    <w:rsid w:val="00A10831"/>
    <w:rsid w:val="00A1162F"/>
    <w:rsid w:val="00A118B8"/>
    <w:rsid w:val="00A13456"/>
    <w:rsid w:val="00A136C1"/>
    <w:rsid w:val="00A15D1B"/>
    <w:rsid w:val="00A20C80"/>
    <w:rsid w:val="00A21368"/>
    <w:rsid w:val="00A263E3"/>
    <w:rsid w:val="00A266E1"/>
    <w:rsid w:val="00A27676"/>
    <w:rsid w:val="00A279A1"/>
    <w:rsid w:val="00A279C0"/>
    <w:rsid w:val="00A306B2"/>
    <w:rsid w:val="00A328D0"/>
    <w:rsid w:val="00A34041"/>
    <w:rsid w:val="00A422D3"/>
    <w:rsid w:val="00A5231C"/>
    <w:rsid w:val="00A57FAF"/>
    <w:rsid w:val="00A65FAA"/>
    <w:rsid w:val="00A7040F"/>
    <w:rsid w:val="00A70E12"/>
    <w:rsid w:val="00A754C7"/>
    <w:rsid w:val="00A75FB4"/>
    <w:rsid w:val="00A763C3"/>
    <w:rsid w:val="00A81375"/>
    <w:rsid w:val="00A92E8C"/>
    <w:rsid w:val="00A94CF7"/>
    <w:rsid w:val="00A95C34"/>
    <w:rsid w:val="00AA00BE"/>
    <w:rsid w:val="00AA0975"/>
    <w:rsid w:val="00AA60DD"/>
    <w:rsid w:val="00AA61F4"/>
    <w:rsid w:val="00AA7B8C"/>
    <w:rsid w:val="00AB0E9C"/>
    <w:rsid w:val="00AB2A3A"/>
    <w:rsid w:val="00AB4A12"/>
    <w:rsid w:val="00AB4E4E"/>
    <w:rsid w:val="00AB624C"/>
    <w:rsid w:val="00AB6634"/>
    <w:rsid w:val="00AB6B9C"/>
    <w:rsid w:val="00AB73E0"/>
    <w:rsid w:val="00AC2057"/>
    <w:rsid w:val="00AC33D8"/>
    <w:rsid w:val="00AC4CA3"/>
    <w:rsid w:val="00AC4F6A"/>
    <w:rsid w:val="00AC6C91"/>
    <w:rsid w:val="00AC7CF2"/>
    <w:rsid w:val="00AD0DD5"/>
    <w:rsid w:val="00AD1E36"/>
    <w:rsid w:val="00AD373B"/>
    <w:rsid w:val="00AE04EA"/>
    <w:rsid w:val="00AE183B"/>
    <w:rsid w:val="00AE223D"/>
    <w:rsid w:val="00AE441A"/>
    <w:rsid w:val="00AE45B4"/>
    <w:rsid w:val="00AE53C9"/>
    <w:rsid w:val="00AE67B0"/>
    <w:rsid w:val="00AE77DE"/>
    <w:rsid w:val="00AF338D"/>
    <w:rsid w:val="00B01691"/>
    <w:rsid w:val="00B03497"/>
    <w:rsid w:val="00B04E91"/>
    <w:rsid w:val="00B05C23"/>
    <w:rsid w:val="00B07823"/>
    <w:rsid w:val="00B31ACD"/>
    <w:rsid w:val="00B31EB3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47631"/>
    <w:rsid w:val="00B50228"/>
    <w:rsid w:val="00B5394F"/>
    <w:rsid w:val="00B5565D"/>
    <w:rsid w:val="00B55C9E"/>
    <w:rsid w:val="00B57858"/>
    <w:rsid w:val="00B61665"/>
    <w:rsid w:val="00B63375"/>
    <w:rsid w:val="00B64124"/>
    <w:rsid w:val="00B64A82"/>
    <w:rsid w:val="00B71194"/>
    <w:rsid w:val="00B71510"/>
    <w:rsid w:val="00B73837"/>
    <w:rsid w:val="00B80A6C"/>
    <w:rsid w:val="00B86677"/>
    <w:rsid w:val="00B90E27"/>
    <w:rsid w:val="00B917F1"/>
    <w:rsid w:val="00B94EA5"/>
    <w:rsid w:val="00B96178"/>
    <w:rsid w:val="00B9714C"/>
    <w:rsid w:val="00BB1A8A"/>
    <w:rsid w:val="00BB1B5D"/>
    <w:rsid w:val="00BB223D"/>
    <w:rsid w:val="00BB2406"/>
    <w:rsid w:val="00BB6702"/>
    <w:rsid w:val="00BB717A"/>
    <w:rsid w:val="00BB7715"/>
    <w:rsid w:val="00BC1CF6"/>
    <w:rsid w:val="00BC5733"/>
    <w:rsid w:val="00BC711B"/>
    <w:rsid w:val="00BD1162"/>
    <w:rsid w:val="00BD1455"/>
    <w:rsid w:val="00BD48B0"/>
    <w:rsid w:val="00BD657D"/>
    <w:rsid w:val="00BD771C"/>
    <w:rsid w:val="00BE0C41"/>
    <w:rsid w:val="00BE436A"/>
    <w:rsid w:val="00BE4B00"/>
    <w:rsid w:val="00BE701A"/>
    <w:rsid w:val="00BE74B4"/>
    <w:rsid w:val="00BF039B"/>
    <w:rsid w:val="00BF0493"/>
    <w:rsid w:val="00BF4A16"/>
    <w:rsid w:val="00BF4C20"/>
    <w:rsid w:val="00BF7372"/>
    <w:rsid w:val="00BF78AE"/>
    <w:rsid w:val="00C00C3B"/>
    <w:rsid w:val="00C016A3"/>
    <w:rsid w:val="00C03508"/>
    <w:rsid w:val="00C05F2D"/>
    <w:rsid w:val="00C07C1E"/>
    <w:rsid w:val="00C12A4B"/>
    <w:rsid w:val="00C13CF3"/>
    <w:rsid w:val="00C16312"/>
    <w:rsid w:val="00C16E3A"/>
    <w:rsid w:val="00C16F20"/>
    <w:rsid w:val="00C1741C"/>
    <w:rsid w:val="00C17F20"/>
    <w:rsid w:val="00C20695"/>
    <w:rsid w:val="00C20A61"/>
    <w:rsid w:val="00C20DEE"/>
    <w:rsid w:val="00C21CF4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2B63"/>
    <w:rsid w:val="00C55B65"/>
    <w:rsid w:val="00C57679"/>
    <w:rsid w:val="00C578A2"/>
    <w:rsid w:val="00C612F3"/>
    <w:rsid w:val="00C61C10"/>
    <w:rsid w:val="00C61C3D"/>
    <w:rsid w:val="00C65036"/>
    <w:rsid w:val="00C70C42"/>
    <w:rsid w:val="00C75B10"/>
    <w:rsid w:val="00C766AA"/>
    <w:rsid w:val="00C81330"/>
    <w:rsid w:val="00C81A12"/>
    <w:rsid w:val="00C828E4"/>
    <w:rsid w:val="00C84E00"/>
    <w:rsid w:val="00C85373"/>
    <w:rsid w:val="00C85D03"/>
    <w:rsid w:val="00C860FE"/>
    <w:rsid w:val="00C91E2E"/>
    <w:rsid w:val="00C93D88"/>
    <w:rsid w:val="00C95EE0"/>
    <w:rsid w:val="00CA1BAB"/>
    <w:rsid w:val="00CA5CCF"/>
    <w:rsid w:val="00CB05BF"/>
    <w:rsid w:val="00CB07BA"/>
    <w:rsid w:val="00CB6605"/>
    <w:rsid w:val="00CB73F5"/>
    <w:rsid w:val="00CC06F9"/>
    <w:rsid w:val="00CC1F29"/>
    <w:rsid w:val="00CC2016"/>
    <w:rsid w:val="00CC294B"/>
    <w:rsid w:val="00CC2FBF"/>
    <w:rsid w:val="00CC5557"/>
    <w:rsid w:val="00CD0BB0"/>
    <w:rsid w:val="00CD1717"/>
    <w:rsid w:val="00CD3A51"/>
    <w:rsid w:val="00CD43E0"/>
    <w:rsid w:val="00CE0420"/>
    <w:rsid w:val="00CF10BC"/>
    <w:rsid w:val="00CF29C0"/>
    <w:rsid w:val="00CF4733"/>
    <w:rsid w:val="00D01D67"/>
    <w:rsid w:val="00D022D3"/>
    <w:rsid w:val="00D039C1"/>
    <w:rsid w:val="00D043C8"/>
    <w:rsid w:val="00D04E77"/>
    <w:rsid w:val="00D0584C"/>
    <w:rsid w:val="00D05D0F"/>
    <w:rsid w:val="00D07534"/>
    <w:rsid w:val="00D078A4"/>
    <w:rsid w:val="00D1435E"/>
    <w:rsid w:val="00D1634E"/>
    <w:rsid w:val="00D208C4"/>
    <w:rsid w:val="00D25909"/>
    <w:rsid w:val="00D308DF"/>
    <w:rsid w:val="00D43AFC"/>
    <w:rsid w:val="00D45474"/>
    <w:rsid w:val="00D45E08"/>
    <w:rsid w:val="00D539EF"/>
    <w:rsid w:val="00D6266C"/>
    <w:rsid w:val="00D67584"/>
    <w:rsid w:val="00D811F6"/>
    <w:rsid w:val="00D90101"/>
    <w:rsid w:val="00D91384"/>
    <w:rsid w:val="00D95ED3"/>
    <w:rsid w:val="00DA22CC"/>
    <w:rsid w:val="00DA6A12"/>
    <w:rsid w:val="00DB08D3"/>
    <w:rsid w:val="00DB7B0D"/>
    <w:rsid w:val="00DC1E98"/>
    <w:rsid w:val="00DC4796"/>
    <w:rsid w:val="00DC490E"/>
    <w:rsid w:val="00DC4FDC"/>
    <w:rsid w:val="00DD1E1D"/>
    <w:rsid w:val="00DD4C83"/>
    <w:rsid w:val="00DD5605"/>
    <w:rsid w:val="00DD6B18"/>
    <w:rsid w:val="00DE0953"/>
    <w:rsid w:val="00DE313F"/>
    <w:rsid w:val="00DE4B52"/>
    <w:rsid w:val="00DE69DB"/>
    <w:rsid w:val="00DE7D0A"/>
    <w:rsid w:val="00DF2CA4"/>
    <w:rsid w:val="00DF2F22"/>
    <w:rsid w:val="00DF3431"/>
    <w:rsid w:val="00DF47FB"/>
    <w:rsid w:val="00DF7E0C"/>
    <w:rsid w:val="00DF7F37"/>
    <w:rsid w:val="00E00AF2"/>
    <w:rsid w:val="00E00ECB"/>
    <w:rsid w:val="00E019EF"/>
    <w:rsid w:val="00E03BB3"/>
    <w:rsid w:val="00E04714"/>
    <w:rsid w:val="00E05F9C"/>
    <w:rsid w:val="00E06FB3"/>
    <w:rsid w:val="00E14E64"/>
    <w:rsid w:val="00E156B4"/>
    <w:rsid w:val="00E165A9"/>
    <w:rsid w:val="00E166BB"/>
    <w:rsid w:val="00E214CD"/>
    <w:rsid w:val="00E2182B"/>
    <w:rsid w:val="00E22597"/>
    <w:rsid w:val="00E226B5"/>
    <w:rsid w:val="00E24550"/>
    <w:rsid w:val="00E27807"/>
    <w:rsid w:val="00E301D8"/>
    <w:rsid w:val="00E31701"/>
    <w:rsid w:val="00E319AD"/>
    <w:rsid w:val="00E33023"/>
    <w:rsid w:val="00E33BD4"/>
    <w:rsid w:val="00E34A35"/>
    <w:rsid w:val="00E34C33"/>
    <w:rsid w:val="00E36A50"/>
    <w:rsid w:val="00E401B7"/>
    <w:rsid w:val="00E41576"/>
    <w:rsid w:val="00E4495C"/>
    <w:rsid w:val="00E45C21"/>
    <w:rsid w:val="00E50774"/>
    <w:rsid w:val="00E50DFC"/>
    <w:rsid w:val="00E53FED"/>
    <w:rsid w:val="00E60FBC"/>
    <w:rsid w:val="00E61BB8"/>
    <w:rsid w:val="00E662B5"/>
    <w:rsid w:val="00E6787A"/>
    <w:rsid w:val="00E713DF"/>
    <w:rsid w:val="00E72135"/>
    <w:rsid w:val="00E72D3D"/>
    <w:rsid w:val="00E74074"/>
    <w:rsid w:val="00E741E9"/>
    <w:rsid w:val="00E801C4"/>
    <w:rsid w:val="00E804DD"/>
    <w:rsid w:val="00E80BD0"/>
    <w:rsid w:val="00E83896"/>
    <w:rsid w:val="00E85784"/>
    <w:rsid w:val="00E87C38"/>
    <w:rsid w:val="00E917E6"/>
    <w:rsid w:val="00E92172"/>
    <w:rsid w:val="00E931C4"/>
    <w:rsid w:val="00E93A12"/>
    <w:rsid w:val="00E93C4D"/>
    <w:rsid w:val="00E96406"/>
    <w:rsid w:val="00E97E3E"/>
    <w:rsid w:val="00EA047B"/>
    <w:rsid w:val="00EA0502"/>
    <w:rsid w:val="00EA2539"/>
    <w:rsid w:val="00EA4CFD"/>
    <w:rsid w:val="00EA4DD0"/>
    <w:rsid w:val="00EA64CE"/>
    <w:rsid w:val="00EB208E"/>
    <w:rsid w:val="00EB3761"/>
    <w:rsid w:val="00EB54D4"/>
    <w:rsid w:val="00EB55FA"/>
    <w:rsid w:val="00EC16CB"/>
    <w:rsid w:val="00EC1F49"/>
    <w:rsid w:val="00EC37FD"/>
    <w:rsid w:val="00EC408C"/>
    <w:rsid w:val="00EC496D"/>
    <w:rsid w:val="00EC4B5C"/>
    <w:rsid w:val="00ED371D"/>
    <w:rsid w:val="00ED4586"/>
    <w:rsid w:val="00ED6623"/>
    <w:rsid w:val="00ED6958"/>
    <w:rsid w:val="00ED7FB6"/>
    <w:rsid w:val="00EE00E3"/>
    <w:rsid w:val="00EE421E"/>
    <w:rsid w:val="00EE53F0"/>
    <w:rsid w:val="00EF13DF"/>
    <w:rsid w:val="00EF4E2C"/>
    <w:rsid w:val="00EF5417"/>
    <w:rsid w:val="00EF6E66"/>
    <w:rsid w:val="00F00592"/>
    <w:rsid w:val="00F00680"/>
    <w:rsid w:val="00F00ECD"/>
    <w:rsid w:val="00F0214D"/>
    <w:rsid w:val="00F0345F"/>
    <w:rsid w:val="00F040E9"/>
    <w:rsid w:val="00F044C1"/>
    <w:rsid w:val="00F052E2"/>
    <w:rsid w:val="00F06B45"/>
    <w:rsid w:val="00F0729A"/>
    <w:rsid w:val="00F075FE"/>
    <w:rsid w:val="00F11C5E"/>
    <w:rsid w:val="00F1442F"/>
    <w:rsid w:val="00F147CB"/>
    <w:rsid w:val="00F14896"/>
    <w:rsid w:val="00F15872"/>
    <w:rsid w:val="00F21923"/>
    <w:rsid w:val="00F23EA8"/>
    <w:rsid w:val="00F253B7"/>
    <w:rsid w:val="00F27733"/>
    <w:rsid w:val="00F31EC5"/>
    <w:rsid w:val="00F34338"/>
    <w:rsid w:val="00F34A7C"/>
    <w:rsid w:val="00F3633A"/>
    <w:rsid w:val="00F425E7"/>
    <w:rsid w:val="00F42BD3"/>
    <w:rsid w:val="00F44499"/>
    <w:rsid w:val="00F44FE0"/>
    <w:rsid w:val="00F46387"/>
    <w:rsid w:val="00F514DF"/>
    <w:rsid w:val="00F53442"/>
    <w:rsid w:val="00F546A3"/>
    <w:rsid w:val="00F54FEB"/>
    <w:rsid w:val="00F60F6C"/>
    <w:rsid w:val="00F612C4"/>
    <w:rsid w:val="00F71851"/>
    <w:rsid w:val="00F7432F"/>
    <w:rsid w:val="00F802E9"/>
    <w:rsid w:val="00F8227D"/>
    <w:rsid w:val="00F8354B"/>
    <w:rsid w:val="00F83DF1"/>
    <w:rsid w:val="00F842E1"/>
    <w:rsid w:val="00F8636B"/>
    <w:rsid w:val="00F878EA"/>
    <w:rsid w:val="00F92C63"/>
    <w:rsid w:val="00F93890"/>
    <w:rsid w:val="00F946CC"/>
    <w:rsid w:val="00F95FB7"/>
    <w:rsid w:val="00FA67B6"/>
    <w:rsid w:val="00FA75C4"/>
    <w:rsid w:val="00FA7F50"/>
    <w:rsid w:val="00FB0B9B"/>
    <w:rsid w:val="00FB2970"/>
    <w:rsid w:val="00FB31CB"/>
    <w:rsid w:val="00FB352F"/>
    <w:rsid w:val="00FB3A7B"/>
    <w:rsid w:val="00FB5CD5"/>
    <w:rsid w:val="00FC7355"/>
    <w:rsid w:val="00FD1A87"/>
    <w:rsid w:val="00FD3408"/>
    <w:rsid w:val="00FD51E0"/>
    <w:rsid w:val="00FD55C1"/>
    <w:rsid w:val="00FE2177"/>
    <w:rsid w:val="00FE41A8"/>
    <w:rsid w:val="00FE5475"/>
    <w:rsid w:val="00FE59E0"/>
    <w:rsid w:val="00FE5D8F"/>
    <w:rsid w:val="00FF1920"/>
    <w:rsid w:val="00FF41BF"/>
    <w:rsid w:val="00FF438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A8F3-2EA6-4D04-9759-DAB5CE0E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Brogowska Ewelina</dc:creator>
  <cp:lastModifiedBy>.</cp:lastModifiedBy>
  <cp:revision>6</cp:revision>
  <cp:lastPrinted>2022-11-07T10:43:00Z</cp:lastPrinted>
  <dcterms:created xsi:type="dcterms:W3CDTF">2022-11-04T10:16:00Z</dcterms:created>
  <dcterms:modified xsi:type="dcterms:W3CDTF">2022-11-10T08:34:00Z</dcterms:modified>
</cp:coreProperties>
</file>